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E344D0" w:rsidRDefault="00D91D0B">
      <w:pPr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MATRIZ DE RESPONSABILIZAÇÃO </w:t>
      </w:r>
    </w:p>
    <w:p w:rsidR="00E344D0" w:rsidRDefault="00E344D0">
      <w:pPr>
        <w:spacing w:before="58"/>
        <w:rPr>
          <w:rFonts w:ascii="Arial" w:eastAsia="Arial" w:hAnsi="Arial" w:cs="Arial"/>
          <w:b/>
          <w:sz w:val="20"/>
          <w:szCs w:val="20"/>
        </w:rPr>
      </w:pPr>
    </w:p>
    <w:tbl>
      <w:tblPr>
        <w:tblStyle w:val="a"/>
        <w:tblW w:w="14565" w:type="dxa"/>
        <w:tblInd w:w="-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50"/>
        <w:gridCol w:w="11715"/>
      </w:tblGrid>
      <w:tr w:rsidR="00E344D0">
        <w:tc>
          <w:tcPr>
            <w:tcW w:w="2850" w:type="dxa"/>
            <w:shd w:val="clear" w:color="auto" w:fill="CCCCCC"/>
          </w:tcPr>
          <w:p w:rsidR="00E344D0" w:rsidRDefault="00D91D0B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UNIDADE JURISDICIONADA</w:t>
            </w:r>
          </w:p>
        </w:tc>
        <w:tc>
          <w:tcPr>
            <w:tcW w:w="11715" w:type="dxa"/>
            <w:shd w:val="clear" w:color="auto" w:fill="auto"/>
          </w:tcPr>
          <w:p w:rsidR="00E344D0" w:rsidRDefault="00E344D0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E344D0">
        <w:trPr>
          <w:trHeight w:val="232"/>
        </w:trPr>
        <w:tc>
          <w:tcPr>
            <w:tcW w:w="2850" w:type="dxa"/>
            <w:shd w:val="clear" w:color="auto" w:fill="CCCCCC"/>
          </w:tcPr>
          <w:p w:rsidR="00E344D0" w:rsidRDefault="00D91D0B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OBJETO DA FISCALIZAÇÃO</w:t>
            </w:r>
          </w:p>
        </w:tc>
        <w:tc>
          <w:tcPr>
            <w:tcW w:w="11715" w:type="dxa"/>
            <w:shd w:val="clear" w:color="auto" w:fill="auto"/>
          </w:tcPr>
          <w:p w:rsidR="00E344D0" w:rsidRDefault="00E344D0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</w:p>
        </w:tc>
      </w:tr>
    </w:tbl>
    <w:p w:rsidR="00E344D0" w:rsidRDefault="00E344D0">
      <w:pPr>
        <w:jc w:val="both"/>
        <w:rPr>
          <w:rFonts w:ascii="Rasa" w:eastAsia="Rasa" w:hAnsi="Rasa" w:cs="Rasa"/>
          <w:sz w:val="20"/>
          <w:szCs w:val="20"/>
        </w:rPr>
      </w:pPr>
    </w:p>
    <w:tbl>
      <w:tblPr>
        <w:tblStyle w:val="a0"/>
        <w:tblW w:w="14580" w:type="dxa"/>
        <w:tblInd w:w="-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10"/>
        <w:gridCol w:w="11670"/>
      </w:tblGrid>
      <w:tr w:rsidR="00E344D0">
        <w:trPr>
          <w:trHeight w:val="787"/>
        </w:trPr>
        <w:tc>
          <w:tcPr>
            <w:tcW w:w="2910" w:type="dxa"/>
            <w:shd w:val="clear" w:color="auto" w:fill="CCCCCC"/>
          </w:tcPr>
          <w:p w:rsidR="00E344D0" w:rsidRDefault="00D91D0B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OBJETIVO DA </w:t>
            </w:r>
            <w:r w:rsidR="00C21941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INSPEÇÃO</w:t>
            </w:r>
          </w:p>
        </w:tc>
        <w:tc>
          <w:tcPr>
            <w:tcW w:w="11670" w:type="dxa"/>
            <w:shd w:val="clear" w:color="auto" w:fill="auto"/>
          </w:tcPr>
          <w:p w:rsidR="00E344D0" w:rsidRDefault="00E344D0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</w:tbl>
    <w:p w:rsidR="00E344D0" w:rsidRDefault="00E344D0">
      <w:pPr>
        <w:rPr>
          <w:rFonts w:ascii="Rasa" w:eastAsia="Rasa" w:hAnsi="Rasa" w:cs="Rasa"/>
          <w:sz w:val="20"/>
          <w:szCs w:val="20"/>
        </w:rPr>
      </w:pPr>
    </w:p>
    <w:tbl>
      <w:tblPr>
        <w:tblStyle w:val="a1"/>
        <w:tblW w:w="14600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1635"/>
        <w:gridCol w:w="1740"/>
        <w:gridCol w:w="1500"/>
        <w:gridCol w:w="2490"/>
        <w:gridCol w:w="2925"/>
        <w:gridCol w:w="2190"/>
        <w:gridCol w:w="2120"/>
      </w:tblGrid>
      <w:tr w:rsidR="00E344D0">
        <w:trPr>
          <w:trHeight w:val="386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E344D0" w:rsidRDefault="00D91D0B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ACHADO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E344D0" w:rsidRDefault="00D91D0B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RESPONSÁVEL (IS)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E344D0" w:rsidRDefault="00D91D0B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PERIODO DE EXERCICIO</w:t>
            </w: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E344D0" w:rsidRDefault="00D91D0B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CONDUTA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E344D0" w:rsidRDefault="00D91D0B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NEXO DE CAUSALIDADE</w:t>
            </w:r>
          </w:p>
          <w:p w:rsidR="00E344D0" w:rsidRDefault="00D91D0B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(entre a conduta e o resultado ilícito)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E344D0" w:rsidRDefault="00D91D0B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CULPABILIDADE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E344D0" w:rsidRDefault="00D91D0B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SANÇÕES </w:t>
            </w:r>
          </w:p>
          <w:p w:rsidR="00E344D0" w:rsidRDefault="00D91D0B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(SE CABÍVEIS) </w:t>
            </w:r>
          </w:p>
        </w:tc>
      </w:tr>
      <w:tr w:rsidR="00E344D0"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4D0" w:rsidRDefault="00D91D0B">
            <w:pPr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 xml:space="preserve">Detalhar somente os achados que se constituem em falhas ou irregularidades passíveis de aplicação </w:t>
            </w:r>
            <w:r w:rsidR="00B81251">
              <w:rPr>
                <w:rFonts w:ascii="Arial" w:eastAsia="Arial" w:hAnsi="Arial" w:cs="Arial"/>
                <w:color w:val="FF0000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e sanção ou imputação de débito.</w:t>
            </w:r>
          </w:p>
          <w:p w:rsidR="00E344D0" w:rsidRDefault="00E344D0">
            <w:pPr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</w:p>
          <w:p w:rsidR="00E344D0" w:rsidRDefault="00E344D0">
            <w:pPr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</w:p>
          <w:p w:rsidR="00E344D0" w:rsidRDefault="00E344D0">
            <w:pPr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</w:p>
          <w:p w:rsidR="00E344D0" w:rsidRDefault="00E344D0">
            <w:pPr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</w:p>
          <w:p w:rsidR="00E344D0" w:rsidRDefault="00E344D0">
            <w:pPr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</w:p>
          <w:p w:rsidR="00E344D0" w:rsidRDefault="00E344D0">
            <w:pPr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</w:p>
          <w:p w:rsidR="00E344D0" w:rsidRDefault="00E344D0">
            <w:pPr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</w:p>
          <w:p w:rsidR="00E344D0" w:rsidRDefault="00E344D0">
            <w:pPr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</w:p>
          <w:p w:rsidR="00E344D0" w:rsidRDefault="00E344D0">
            <w:pPr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4D0" w:rsidRDefault="00D91D0B">
            <w:pPr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Indicar, além do nome, o cargo e o CPF do responsável.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7855" w:rsidRDefault="00D91D0B" w:rsidP="00237855">
            <w:pPr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Indicar sempre e para todos os responsáveis o período de exercício.</w:t>
            </w:r>
            <w:r w:rsidR="00B81251">
              <w:rPr>
                <w:rFonts w:ascii="Arial" w:eastAsia="Arial" w:hAnsi="Arial" w:cs="Arial"/>
                <w:color w:val="FF0000"/>
                <w:sz w:val="18"/>
                <w:szCs w:val="18"/>
              </w:rPr>
              <w:t xml:space="preserve"> </w:t>
            </w:r>
          </w:p>
          <w:p w:rsidR="00237855" w:rsidRDefault="00237855" w:rsidP="00237855">
            <w:pPr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</w:p>
          <w:p w:rsidR="00237855" w:rsidRPr="00237855" w:rsidRDefault="00237855" w:rsidP="00237855">
            <w:pPr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Objetiva</w:t>
            </w:r>
            <w:r w:rsidR="00B81251" w:rsidRPr="00B81251">
              <w:rPr>
                <w:rFonts w:ascii="Arial" w:eastAsia="Arial" w:hAnsi="Arial" w:cs="Arial"/>
                <w:color w:val="FF0000"/>
                <w:sz w:val="18"/>
                <w:szCs w:val="18"/>
              </w:rPr>
              <w:t xml:space="preserve"> buscar o responsável que efetivamente desempenhava as funções à época da ocorrência do achado</w:t>
            </w: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 xml:space="preserve">. </w:t>
            </w:r>
            <w:r w:rsidRPr="00237855">
              <w:rPr>
                <w:rFonts w:ascii="Arial" w:eastAsia="Arial" w:hAnsi="Arial" w:cs="Arial"/>
                <w:color w:val="FF0000"/>
                <w:sz w:val="18"/>
                <w:szCs w:val="18"/>
              </w:rPr>
              <w:t xml:space="preserve">Com efeito, </w:t>
            </w: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 xml:space="preserve">sempre que possível </w:t>
            </w:r>
            <w:r w:rsidRPr="00237855">
              <w:rPr>
                <w:rFonts w:ascii="Arial" w:eastAsia="Arial" w:hAnsi="Arial" w:cs="Arial"/>
                <w:color w:val="FF0000"/>
                <w:sz w:val="18"/>
                <w:szCs w:val="18"/>
              </w:rPr>
              <w:t>deve-se atentar para períodos</w:t>
            </w: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 xml:space="preserve"> </w:t>
            </w:r>
            <w:r w:rsidRPr="00237855">
              <w:rPr>
                <w:rFonts w:ascii="Arial" w:eastAsia="Arial" w:hAnsi="Arial" w:cs="Arial"/>
                <w:color w:val="FF0000"/>
                <w:sz w:val="18"/>
                <w:szCs w:val="18"/>
              </w:rPr>
              <w:t xml:space="preserve">e outras </w:t>
            </w:r>
            <w:r w:rsidRPr="00237855">
              <w:rPr>
                <w:rFonts w:ascii="Arial" w:eastAsia="Arial" w:hAnsi="Arial" w:cs="Arial"/>
                <w:color w:val="FF0000"/>
                <w:sz w:val="18"/>
                <w:szCs w:val="18"/>
              </w:rPr>
              <w:lastRenderedPageBreak/>
              <w:t>circunstâncias que afastam determinad</w:t>
            </w: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o agente</w:t>
            </w:r>
          </w:p>
          <w:p w:rsidR="00E344D0" w:rsidRDefault="00237855" w:rsidP="00237855">
            <w:pPr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r w:rsidRPr="00237855">
              <w:rPr>
                <w:rFonts w:ascii="Arial" w:eastAsia="Arial" w:hAnsi="Arial" w:cs="Arial"/>
                <w:color w:val="FF0000"/>
                <w:sz w:val="18"/>
                <w:szCs w:val="18"/>
              </w:rPr>
              <w:t>da linha de responsabilização</w:t>
            </w: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.</w:t>
            </w:r>
          </w:p>
          <w:p w:rsidR="00E344D0" w:rsidRDefault="00E344D0">
            <w:pPr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</w:p>
          <w:p w:rsidR="00E344D0" w:rsidRDefault="00E344D0">
            <w:pPr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</w:p>
          <w:p w:rsidR="00E344D0" w:rsidRDefault="00E344D0">
            <w:pPr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</w:p>
          <w:p w:rsidR="00E344D0" w:rsidRDefault="00E344D0">
            <w:pPr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</w:p>
          <w:p w:rsidR="00E344D0" w:rsidRDefault="00E344D0">
            <w:pPr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</w:p>
          <w:p w:rsidR="00E344D0" w:rsidRDefault="00E344D0">
            <w:pPr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4D0" w:rsidRDefault="00D91D0B">
            <w:pPr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lastRenderedPageBreak/>
              <w:t xml:space="preserve">Identificar a ação ou a omissão, culposa ou dolosa praticada pelo responsável. </w:t>
            </w:r>
          </w:p>
          <w:p w:rsidR="00E344D0" w:rsidRDefault="00E344D0">
            <w:pPr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</w:pPr>
          </w:p>
          <w:p w:rsidR="00E344D0" w:rsidRDefault="00D91D0B">
            <w:pPr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Nos casos de ação, utilizar verbos no infinitivo, mencionar os documentos que comprovem a conduta adotada e indicar a conduta esperada.</w:t>
            </w:r>
          </w:p>
          <w:p w:rsidR="00E344D0" w:rsidRDefault="00E344D0">
            <w:pPr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</w:pPr>
          </w:p>
          <w:p w:rsidR="00E344D0" w:rsidRDefault="00D91D0B">
            <w:pPr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Nos casos de omissão, indicar o que deveria ter sido feito.</w:t>
            </w:r>
          </w:p>
          <w:p w:rsidR="00E344D0" w:rsidRDefault="00E344D0">
            <w:pPr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</w:p>
          <w:p w:rsidR="00E344D0" w:rsidRDefault="00D91D0B">
            <w:pPr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 xml:space="preserve">Ao descrever a conduta deve se destacar quaisquer medidas tomadas por pessoas responsáveis, durante a </w:t>
            </w:r>
            <w:r w:rsidR="00C21941">
              <w:rPr>
                <w:rFonts w:ascii="Arial" w:eastAsia="Arial" w:hAnsi="Arial" w:cs="Arial"/>
                <w:color w:val="FF0000"/>
                <w:sz w:val="18"/>
                <w:szCs w:val="18"/>
              </w:rPr>
              <w:t>inspeção</w:t>
            </w: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 xml:space="preserve">, para </w:t>
            </w: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lastRenderedPageBreak/>
              <w:t>reparar a perda, o mau uso ou desperdício gerados.</w:t>
            </w:r>
          </w:p>
          <w:p w:rsidR="00E344D0" w:rsidRDefault="00E344D0">
            <w:pPr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4D0" w:rsidRDefault="00D91D0B">
            <w:pPr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lastRenderedPageBreak/>
              <w:t>Evidenciar a relação de causa e efeito entre a conduta do responsável e o resultado ilícito.</w:t>
            </w:r>
          </w:p>
          <w:p w:rsidR="00E344D0" w:rsidRDefault="00E344D0">
            <w:pPr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</w:p>
          <w:p w:rsidR="00E344D0" w:rsidRDefault="00D91D0B">
            <w:pPr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(CONDUTA)...resultou… (RESULTADO ILÍCITO)</w:t>
            </w:r>
          </w:p>
          <w:p w:rsidR="00E344D0" w:rsidRDefault="00E344D0">
            <w:pPr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</w:p>
          <w:p w:rsidR="00E344D0" w:rsidRDefault="00D91D0B">
            <w:pPr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(CONDUTA)...propiciou... (RESULTADO ILÍCITO)</w:t>
            </w:r>
          </w:p>
          <w:p w:rsidR="00E344D0" w:rsidRDefault="00E344D0">
            <w:pPr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</w:p>
          <w:p w:rsidR="00E344D0" w:rsidRDefault="00D91D0B">
            <w:pPr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 xml:space="preserve">(CONDUTA)...possibilitou... (RESULTADO ILÍCITO) </w:t>
            </w:r>
          </w:p>
          <w:p w:rsidR="00E344D0" w:rsidRDefault="00E344D0">
            <w:pPr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</w:p>
          <w:p w:rsidR="00E344D0" w:rsidRDefault="00D91D0B">
            <w:pPr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Sempre que for o caso, deve ser destacado no resultado do ilícito o valor da perda, do mau uso ou do desperdício gerado e o montante a ser ressarcido devido à responsabilidade pessoal.</w:t>
            </w:r>
          </w:p>
          <w:p w:rsidR="00E344D0" w:rsidRDefault="00E344D0">
            <w:pPr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720" w:rsidRDefault="00EA7720">
            <w:pPr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r w:rsidRPr="00EA7720">
              <w:rPr>
                <w:rFonts w:ascii="Arial" w:eastAsia="Arial" w:hAnsi="Arial" w:cs="Arial"/>
                <w:color w:val="FF0000"/>
                <w:sz w:val="18"/>
                <w:szCs w:val="18"/>
              </w:rPr>
              <w:t>A análise da culpabilidade não investiga a existência de culpa ou dolo, mas pretende avaliar a reprovabilidade da conduta do respon</w:t>
            </w: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sável</w:t>
            </w:r>
          </w:p>
          <w:p w:rsidR="00EA7720" w:rsidRDefault="00EA7720">
            <w:pPr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</w:p>
          <w:p w:rsidR="00E344D0" w:rsidRDefault="00EA7720">
            <w:pPr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Deve-se a</w:t>
            </w:r>
            <w:r w:rsidR="00D91D0B">
              <w:rPr>
                <w:rFonts w:ascii="Arial" w:eastAsia="Arial" w:hAnsi="Arial" w:cs="Arial"/>
                <w:color w:val="FF0000"/>
                <w:sz w:val="18"/>
                <w:szCs w:val="18"/>
              </w:rPr>
              <w:t>valiar a reprovabilidade da conduta, trazendo resposta aos questionamentos propostos nas instruções de preenchimento da matriz.</w:t>
            </w:r>
          </w:p>
          <w:p w:rsidR="00EA7720" w:rsidRDefault="00EA7720">
            <w:pPr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</w:p>
          <w:p w:rsidR="00E344D0" w:rsidRDefault="006F4452">
            <w:pPr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Se existentes, d</w:t>
            </w:r>
            <w:r w:rsidR="00D91D0B">
              <w:rPr>
                <w:rFonts w:ascii="Arial" w:eastAsia="Arial" w:hAnsi="Arial" w:cs="Arial"/>
                <w:color w:val="FF0000"/>
                <w:sz w:val="18"/>
                <w:szCs w:val="18"/>
              </w:rPr>
              <w:t xml:space="preserve">evem ser destacados também os argumentos da administração sobre os </w:t>
            </w:r>
            <w:r w:rsidR="00D91D0B">
              <w:rPr>
                <w:rFonts w:ascii="Arial" w:eastAsia="Arial" w:hAnsi="Arial" w:cs="Arial"/>
                <w:color w:val="FF0000"/>
                <w:sz w:val="18"/>
                <w:szCs w:val="18"/>
              </w:rPr>
              <w:lastRenderedPageBreak/>
              <w:t>atos de conformidade ou ilícitos.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4D0" w:rsidRDefault="00D91D0B">
            <w:pPr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lastRenderedPageBreak/>
              <w:t>Descrever as sugestões de sanções e seus respectivos fundamentos legais.</w:t>
            </w:r>
          </w:p>
          <w:p w:rsidR="00E344D0" w:rsidRDefault="00E344D0">
            <w:pPr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</w:p>
          <w:p w:rsidR="00E344D0" w:rsidRDefault="00D91D0B">
            <w:pPr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 xml:space="preserve">Caso a equipe de </w:t>
            </w:r>
            <w:r w:rsidR="00C21941">
              <w:rPr>
                <w:rFonts w:ascii="Arial" w:eastAsia="Arial" w:hAnsi="Arial" w:cs="Arial"/>
                <w:color w:val="FF0000"/>
                <w:sz w:val="18"/>
                <w:szCs w:val="18"/>
              </w:rPr>
              <w:t>inspeção</w:t>
            </w: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 xml:space="preserve"> avalie que o responsável está amparado por alguma excludente de ilicitude ou de culpabilidade, deve ser indicada qual, seguida do registro pela inaplicabilidade de sanção.</w:t>
            </w:r>
          </w:p>
        </w:tc>
      </w:tr>
    </w:tbl>
    <w:p w:rsidR="00E344D0" w:rsidRDefault="00E344D0">
      <w:pPr>
        <w:jc w:val="both"/>
        <w:rPr>
          <w:rFonts w:ascii="Rasa" w:eastAsia="Rasa" w:hAnsi="Rasa" w:cs="Rasa"/>
          <w:sz w:val="20"/>
          <w:szCs w:val="20"/>
        </w:rPr>
      </w:pPr>
    </w:p>
    <w:tbl>
      <w:tblPr>
        <w:tblStyle w:val="a2"/>
        <w:tblW w:w="14595" w:type="dxa"/>
        <w:tblInd w:w="-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65"/>
        <w:gridCol w:w="12330"/>
      </w:tblGrid>
      <w:tr w:rsidR="00E344D0">
        <w:tc>
          <w:tcPr>
            <w:tcW w:w="2265" w:type="dxa"/>
            <w:shd w:val="clear" w:color="auto" w:fill="CCCCCC"/>
          </w:tcPr>
          <w:p w:rsidR="00E344D0" w:rsidRDefault="00D91D0B">
            <w:pPr>
              <w:spacing w:before="57" w:after="5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COORDENADOR</w:t>
            </w:r>
          </w:p>
        </w:tc>
        <w:tc>
          <w:tcPr>
            <w:tcW w:w="12330" w:type="dxa"/>
            <w:shd w:val="clear" w:color="auto" w:fill="auto"/>
          </w:tcPr>
          <w:p w:rsidR="00E344D0" w:rsidRDefault="00E344D0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E344D0">
        <w:tc>
          <w:tcPr>
            <w:tcW w:w="14595" w:type="dxa"/>
            <w:gridSpan w:val="2"/>
            <w:shd w:val="clear" w:color="auto" w:fill="auto"/>
          </w:tcPr>
          <w:p w:rsidR="00E344D0" w:rsidRDefault="00D91D0B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EQUIPE:</w:t>
            </w:r>
          </w:p>
          <w:p w:rsidR="00E344D0" w:rsidRDefault="00D91D0B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XXXX</w:t>
            </w:r>
          </w:p>
          <w:p w:rsidR="00E344D0" w:rsidRDefault="00D91D0B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YYYY</w:t>
            </w:r>
          </w:p>
          <w:p w:rsidR="00E344D0" w:rsidRDefault="00D91D0B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ZZZZ</w:t>
            </w:r>
          </w:p>
        </w:tc>
      </w:tr>
    </w:tbl>
    <w:p w:rsidR="00E344D0" w:rsidRDefault="00D91D0B">
      <w:pPr>
        <w:jc w:val="both"/>
        <w:rPr>
          <w:rFonts w:ascii="Arial" w:eastAsia="Arial" w:hAnsi="Arial" w:cs="Arial"/>
          <w:b/>
          <w:color w:val="1C4587"/>
          <w:sz w:val="20"/>
          <w:szCs w:val="20"/>
        </w:rPr>
        <w:sectPr w:rsidR="00E344D0">
          <w:headerReference w:type="default" r:id="rId8"/>
          <w:footerReference w:type="default" r:id="rId9"/>
          <w:pgSz w:w="16837" w:h="11905" w:orient="landscape"/>
          <w:pgMar w:top="1701" w:right="1134" w:bottom="1134" w:left="1701" w:header="709" w:footer="709" w:gutter="0"/>
          <w:pgNumType w:start="1"/>
          <w:cols w:space="720"/>
        </w:sectPr>
      </w:pPr>
      <w:r>
        <w:br w:type="page"/>
      </w:r>
    </w:p>
    <w:p w:rsidR="00E344D0" w:rsidRDefault="00D91D0B">
      <w:pPr>
        <w:tabs>
          <w:tab w:val="center" w:pos="4252"/>
          <w:tab w:val="right" w:pos="8504"/>
        </w:tabs>
        <w:rPr>
          <w:rFonts w:ascii="Arial" w:eastAsia="Arial" w:hAnsi="Arial" w:cs="Arial"/>
          <w:b/>
          <w:color w:val="1C4587"/>
          <w:sz w:val="20"/>
          <w:szCs w:val="20"/>
        </w:rPr>
      </w:pPr>
      <w:r>
        <w:rPr>
          <w:rFonts w:ascii="Arial" w:eastAsia="Arial" w:hAnsi="Arial" w:cs="Arial"/>
          <w:b/>
          <w:color w:val="1C4587"/>
          <w:sz w:val="20"/>
          <w:szCs w:val="20"/>
        </w:rPr>
        <w:lastRenderedPageBreak/>
        <w:t>Orientações para preenchimento da Matriz de Responsabilização</w:t>
      </w:r>
    </w:p>
    <w:p w:rsidR="00E344D0" w:rsidRDefault="00E344D0">
      <w:pPr>
        <w:tabs>
          <w:tab w:val="center" w:pos="4252"/>
          <w:tab w:val="right" w:pos="8504"/>
        </w:tabs>
        <w:jc w:val="center"/>
        <w:rPr>
          <w:rFonts w:ascii="Arial" w:eastAsia="Arial" w:hAnsi="Arial" w:cs="Arial"/>
          <w:b/>
          <w:sz w:val="22"/>
          <w:szCs w:val="22"/>
        </w:rPr>
      </w:pPr>
    </w:p>
    <w:tbl>
      <w:tblPr>
        <w:tblStyle w:val="a3"/>
        <w:tblW w:w="940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26"/>
        <w:gridCol w:w="7581"/>
      </w:tblGrid>
      <w:tr w:rsidR="00E344D0">
        <w:trPr>
          <w:trHeight w:val="725"/>
        </w:trPr>
        <w:tc>
          <w:tcPr>
            <w:tcW w:w="1826" w:type="dxa"/>
            <w:tcBorders>
              <w:top w:val="single" w:sz="8" w:space="0" w:color="6D9EEB"/>
              <w:left w:val="single" w:sz="8" w:space="0" w:color="6D9EEB"/>
              <w:bottom w:val="single" w:sz="12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344D0" w:rsidRDefault="00D91D0B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Objetivo do modelo do papel de trabalho</w:t>
            </w:r>
          </w:p>
        </w:tc>
        <w:tc>
          <w:tcPr>
            <w:tcW w:w="7581" w:type="dxa"/>
            <w:tcBorders>
              <w:top w:val="single" w:sz="8" w:space="0" w:color="6D9EEB"/>
              <w:left w:val="single" w:sz="8" w:space="0" w:color="93C47D"/>
              <w:bottom w:val="single" w:sz="12" w:space="0" w:color="93C47D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344D0" w:rsidRDefault="00D91D0B">
            <w:pPr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O objetivo deste papel de trabalho é </w:t>
            </w:r>
            <w:r w:rsidR="00C21941">
              <w:rPr>
                <w:rFonts w:ascii="Arial" w:eastAsia="Arial" w:hAnsi="Arial" w:cs="Arial"/>
                <w:sz w:val="18"/>
                <w:szCs w:val="18"/>
              </w:rPr>
              <w:t>o registro d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a conclusão </w:t>
            </w:r>
            <w:r w:rsidR="00C21941">
              <w:rPr>
                <w:rFonts w:ascii="Arial" w:eastAsia="Arial" w:hAnsi="Arial" w:cs="Arial"/>
                <w:sz w:val="18"/>
                <w:szCs w:val="18"/>
              </w:rPr>
              <w:t xml:space="preserve">da equipe de fiscalização 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quanto a existência de responsabilidade pessoal e subjetiva do agente que praticou conduta relacionada ao achado identificado. A Matriz de Responsabilização deve ser preenchida durante a fase de execução da </w:t>
            </w:r>
            <w:r w:rsidR="00C21941">
              <w:rPr>
                <w:rFonts w:ascii="Arial" w:eastAsia="Arial" w:hAnsi="Arial" w:cs="Arial"/>
                <w:sz w:val="18"/>
                <w:szCs w:val="18"/>
              </w:rPr>
              <w:t>inspeção</w:t>
            </w:r>
            <w:r>
              <w:rPr>
                <w:rFonts w:ascii="Arial" w:eastAsia="Arial" w:hAnsi="Arial" w:cs="Arial"/>
                <w:sz w:val="18"/>
                <w:szCs w:val="18"/>
              </w:rPr>
              <w:t>, posterior ao registro dos achados.</w:t>
            </w:r>
          </w:p>
        </w:tc>
      </w:tr>
      <w:tr w:rsidR="00E344D0">
        <w:trPr>
          <w:trHeight w:val="734"/>
        </w:trPr>
        <w:tc>
          <w:tcPr>
            <w:tcW w:w="1826" w:type="dxa"/>
            <w:tcBorders>
              <w:top w:val="single" w:sz="12" w:space="0" w:color="93C47D"/>
              <w:left w:val="single" w:sz="8" w:space="0" w:color="6D9EEB"/>
              <w:bottom w:val="single" w:sz="8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344D0" w:rsidRDefault="00D91D0B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Requisitos e Princípios NBASP</w:t>
            </w:r>
          </w:p>
        </w:tc>
        <w:tc>
          <w:tcPr>
            <w:tcW w:w="7581" w:type="dxa"/>
            <w:tcBorders>
              <w:top w:val="single" w:sz="12" w:space="0" w:color="93C47D"/>
              <w:left w:val="single" w:sz="8" w:space="0" w:color="93C47D"/>
              <w:bottom w:val="single" w:sz="8" w:space="0" w:color="93C47D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1251" w:rsidRDefault="00D91D0B" w:rsidP="00B81251">
            <w:pPr>
              <w:spacing w:line="276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NBASP 12/25;</w:t>
            </w:r>
          </w:p>
          <w:p w:rsidR="00E344D0" w:rsidRDefault="00D91D0B" w:rsidP="00B81251">
            <w:pPr>
              <w:spacing w:line="276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NBASP 50/1.1.1-1.1.4; 3.1;3.4;4.4</w:t>
            </w:r>
          </w:p>
        </w:tc>
      </w:tr>
      <w:tr w:rsidR="00E344D0">
        <w:tc>
          <w:tcPr>
            <w:tcW w:w="1826" w:type="dxa"/>
            <w:tcBorders>
              <w:top w:val="single" w:sz="8" w:space="0" w:color="93C47D"/>
              <w:left w:val="single" w:sz="8" w:space="0" w:color="6D9EEB"/>
              <w:bottom w:val="single" w:sz="8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344D0" w:rsidRDefault="00D91D0B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Guia</w:t>
            </w:r>
          </w:p>
        </w:tc>
        <w:tc>
          <w:tcPr>
            <w:tcW w:w="7581" w:type="dxa"/>
            <w:tcBorders>
              <w:top w:val="single" w:sz="8" w:space="0" w:color="93C47D"/>
              <w:left w:val="single" w:sz="8" w:space="0" w:color="93C47D"/>
              <w:bottom w:val="single" w:sz="8" w:space="0" w:color="93C47D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344D0" w:rsidRDefault="00D91D0B" w:rsidP="00C21941">
            <w:pPr>
              <w:tabs>
                <w:tab w:val="center" w:pos="4252"/>
                <w:tab w:val="right" w:pos="8504"/>
              </w:tabs>
              <w:spacing w:before="20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 responsabilidade pessoal pode ser medida pela extensão da participação da pessoa em uma transação não conforme (ilegal, desnecessária, excessiva, extravagante, desmedida), conforme indicado nos documentos de transações que ela assinou.</w:t>
            </w:r>
          </w:p>
          <w:p w:rsidR="00E344D0" w:rsidRDefault="00C21941" w:rsidP="00C21941">
            <w:pPr>
              <w:tabs>
                <w:tab w:val="center" w:pos="4252"/>
                <w:tab w:val="right" w:pos="8504"/>
              </w:tabs>
              <w:spacing w:before="20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 equipe de fiscalização</w:t>
            </w:r>
            <w:r w:rsidR="00D91D0B">
              <w:rPr>
                <w:rFonts w:ascii="Arial" w:eastAsia="Arial" w:hAnsi="Arial" w:cs="Arial"/>
                <w:sz w:val="18"/>
                <w:szCs w:val="18"/>
              </w:rPr>
              <w:t xml:space="preserve"> deve realizar procedimentos para obter evidência suficiente e apropriada quanto à responsabilidade do agente público que pode ser responsabilizado por atos de não conformidade ou por atos ilícitos.</w:t>
            </w:r>
          </w:p>
          <w:p w:rsidR="00E344D0" w:rsidRDefault="00D91D0B" w:rsidP="00C21941">
            <w:pPr>
              <w:spacing w:before="20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 julgamento profissional para determinar se o agente público é ou não pessoalmente responsável por atos de não conformidade pode incluir:</w:t>
            </w:r>
          </w:p>
          <w:p w:rsidR="00E344D0" w:rsidRDefault="00D91D0B" w:rsidP="00C21941">
            <w:pPr>
              <w:spacing w:before="200"/>
              <w:ind w:left="85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a) uma avaliação da forma como as responsabilidades mencionadas pela lei ou incluídas na descrição do cargo do agente público foram realizadas; </w:t>
            </w:r>
          </w:p>
          <w:p w:rsidR="00E344D0" w:rsidRDefault="00D91D0B" w:rsidP="00C21941">
            <w:pPr>
              <w:spacing w:before="200"/>
              <w:ind w:left="85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b) determinar se o ato de não conformidade ou ilegal do agente público causou perda identificada, mau uso ou desperdício de fundos ou bens públicos; </w:t>
            </w:r>
          </w:p>
          <w:p w:rsidR="00E344D0" w:rsidRDefault="00D91D0B" w:rsidP="00C21941">
            <w:pPr>
              <w:spacing w:before="200"/>
              <w:ind w:left="85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c) uma avaliação das possíveis circunstâncias excludentes de responsabilização, como as de ilicitude ou de culpabilidade (exemplos: artigos 20 a 26 do Código Penal; artigo 196 e seguintes da Lei estadual n° 20.756, de 28 de janeiro de 2020 e artigos 22 e 20 da Lei de Introdução às Normas do Direito Brasileiro-LINDB).</w:t>
            </w:r>
          </w:p>
          <w:p w:rsidR="00E344D0" w:rsidRDefault="00D91D0B" w:rsidP="00C21941">
            <w:pPr>
              <w:spacing w:before="20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No relatório, </w:t>
            </w:r>
            <w:r w:rsidR="00C21941">
              <w:rPr>
                <w:rFonts w:ascii="Arial" w:eastAsia="Arial" w:hAnsi="Arial" w:cs="Arial"/>
                <w:sz w:val="18"/>
                <w:szCs w:val="18"/>
              </w:rPr>
              <w:t xml:space="preserve">a equipe de fiscalização deve </w:t>
            </w:r>
            <w:r>
              <w:rPr>
                <w:rFonts w:ascii="Arial" w:eastAsia="Arial" w:hAnsi="Arial" w:cs="Arial"/>
                <w:sz w:val="18"/>
                <w:szCs w:val="18"/>
              </w:rPr>
              <w:t>explicar os métodos aplicados para determinar se cada pessoa responsável envolvida na administração, gerenciamento, uso ou controle de recursos ou bens públicos é ou não responsável pelos atos de não conformidade.</w:t>
            </w:r>
          </w:p>
          <w:p w:rsidR="00E344D0" w:rsidRDefault="00D91D0B" w:rsidP="00C21941">
            <w:pPr>
              <w:spacing w:before="20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Caso não tenha sido identificada responsabilidade pessoal do gestor pelos atos de não conformidade, este papel de trabalho pode ser dispensado.</w:t>
            </w:r>
          </w:p>
          <w:p w:rsidR="00777554" w:rsidRDefault="00777554" w:rsidP="00777554">
            <w:pPr>
              <w:spacing w:before="20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Na </w:t>
            </w:r>
            <w:r w:rsidRPr="00777554">
              <w:rPr>
                <w:rFonts w:ascii="Arial" w:eastAsia="Arial" w:hAnsi="Arial" w:cs="Arial"/>
                <w:sz w:val="18"/>
                <w:szCs w:val="18"/>
              </w:rPr>
              <w:t>análise de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Pr="00777554">
              <w:rPr>
                <w:rFonts w:ascii="Arial" w:eastAsia="Arial" w:hAnsi="Arial" w:cs="Arial"/>
                <w:sz w:val="18"/>
                <w:szCs w:val="18"/>
              </w:rPr>
              <w:t>culpabilidade deve</w:t>
            </w:r>
            <w:r>
              <w:rPr>
                <w:rFonts w:ascii="Arial" w:eastAsia="Arial" w:hAnsi="Arial" w:cs="Arial"/>
                <w:sz w:val="18"/>
                <w:szCs w:val="18"/>
              </w:rPr>
              <w:t>-se</w:t>
            </w:r>
            <w:r w:rsidRPr="00777554">
              <w:rPr>
                <w:rFonts w:ascii="Arial" w:eastAsia="Arial" w:hAnsi="Arial" w:cs="Arial"/>
                <w:sz w:val="18"/>
                <w:szCs w:val="18"/>
              </w:rPr>
              <w:t xml:space="preserve"> levar em conta os seguintes questionamentos:</w:t>
            </w:r>
          </w:p>
          <w:p w:rsidR="00777554" w:rsidRDefault="00777554" w:rsidP="00777554">
            <w:pPr>
              <w:numPr>
                <w:ilvl w:val="0"/>
                <w:numId w:val="1"/>
              </w:numPr>
              <w:spacing w:before="20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777554">
              <w:rPr>
                <w:rFonts w:ascii="Arial" w:eastAsia="Arial" w:hAnsi="Arial" w:cs="Arial"/>
                <w:sz w:val="18"/>
                <w:szCs w:val="18"/>
              </w:rPr>
              <w:t>Houve boa-fé do responsável?</w:t>
            </w:r>
          </w:p>
          <w:p w:rsidR="00777554" w:rsidRPr="00777554" w:rsidRDefault="00777554" w:rsidP="00EA7720">
            <w:pPr>
              <w:spacing w:before="200"/>
              <w:ind w:left="1134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Ex.: </w:t>
            </w:r>
            <w:r w:rsidRPr="00777554">
              <w:rPr>
                <w:rFonts w:ascii="Arial" w:eastAsia="Arial" w:hAnsi="Arial" w:cs="Arial"/>
                <w:sz w:val="18"/>
                <w:szCs w:val="18"/>
              </w:rPr>
              <w:t>Não é possível afirmar que houve boa-fé do responsável.</w:t>
            </w:r>
          </w:p>
          <w:p w:rsidR="00777554" w:rsidRDefault="00777554" w:rsidP="00777554">
            <w:pPr>
              <w:numPr>
                <w:ilvl w:val="0"/>
                <w:numId w:val="1"/>
              </w:numPr>
              <w:spacing w:before="20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777554">
              <w:rPr>
                <w:rFonts w:ascii="Arial" w:eastAsia="Arial" w:hAnsi="Arial" w:cs="Arial"/>
                <w:sz w:val="18"/>
                <w:szCs w:val="18"/>
              </w:rPr>
              <w:t>O responsável praticou o ato após prévia consulta a órgãos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Pr="00777554">
              <w:rPr>
                <w:rFonts w:ascii="Arial" w:eastAsia="Arial" w:hAnsi="Arial" w:cs="Arial"/>
                <w:sz w:val="18"/>
                <w:szCs w:val="18"/>
              </w:rPr>
              <w:t>técnicos ou, de algum modo, respaldado em parecer técnico?</w:t>
            </w:r>
          </w:p>
          <w:p w:rsidR="00777554" w:rsidRPr="00777554" w:rsidRDefault="00777554" w:rsidP="00EA7720">
            <w:pPr>
              <w:spacing w:before="200"/>
              <w:ind w:left="1134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Ex.: </w:t>
            </w:r>
            <w:r w:rsidRPr="00777554">
              <w:rPr>
                <w:rFonts w:ascii="Arial" w:eastAsia="Arial" w:hAnsi="Arial" w:cs="Arial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Pr="00777554">
              <w:rPr>
                <w:rFonts w:ascii="Arial" w:eastAsia="Arial" w:hAnsi="Arial" w:cs="Arial"/>
                <w:sz w:val="18"/>
                <w:szCs w:val="18"/>
              </w:rPr>
              <w:t>responsável praticou o ato sem prévia consulta a órgãos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Pr="00777554">
              <w:rPr>
                <w:rFonts w:ascii="Arial" w:eastAsia="Arial" w:hAnsi="Arial" w:cs="Arial"/>
                <w:sz w:val="18"/>
                <w:szCs w:val="18"/>
              </w:rPr>
              <w:t>técnicos ou, de algum modo, respaldado em parecer técnico.</w:t>
            </w:r>
          </w:p>
          <w:p w:rsidR="00777554" w:rsidRDefault="00777554" w:rsidP="00777554">
            <w:pPr>
              <w:numPr>
                <w:ilvl w:val="0"/>
                <w:numId w:val="1"/>
              </w:numPr>
              <w:spacing w:before="20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777554">
              <w:rPr>
                <w:rFonts w:ascii="Arial" w:eastAsia="Arial" w:hAnsi="Arial" w:cs="Arial"/>
                <w:sz w:val="18"/>
                <w:szCs w:val="18"/>
              </w:rPr>
              <w:t>É razoável afirmar que era possível ao responsável ter consciência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Pr="00777554">
              <w:rPr>
                <w:rFonts w:ascii="Arial" w:eastAsia="Arial" w:hAnsi="Arial" w:cs="Arial"/>
                <w:sz w:val="18"/>
                <w:szCs w:val="18"/>
              </w:rPr>
              <w:t>da ilicitude do ato que praticara?</w:t>
            </w:r>
          </w:p>
          <w:p w:rsidR="00EA7720" w:rsidRPr="00777554" w:rsidRDefault="00EA7720" w:rsidP="00EA7720">
            <w:pPr>
              <w:spacing w:before="200"/>
              <w:ind w:left="1134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Ex.: </w:t>
            </w:r>
            <w:r w:rsidRPr="00EA7720">
              <w:rPr>
                <w:rFonts w:ascii="Arial" w:eastAsia="Arial" w:hAnsi="Arial" w:cs="Arial"/>
                <w:sz w:val="18"/>
                <w:szCs w:val="18"/>
              </w:rPr>
              <w:t>É razoável afirmar que era possível ao responsável ter consciência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Pr="00EA7720">
              <w:rPr>
                <w:rFonts w:ascii="Arial" w:eastAsia="Arial" w:hAnsi="Arial" w:cs="Arial"/>
                <w:sz w:val="18"/>
                <w:szCs w:val="18"/>
              </w:rPr>
              <w:t>da ilicitude do ato que praticara.</w:t>
            </w:r>
          </w:p>
          <w:p w:rsidR="00777554" w:rsidRDefault="00777554" w:rsidP="00777554">
            <w:pPr>
              <w:numPr>
                <w:ilvl w:val="0"/>
                <w:numId w:val="1"/>
              </w:numPr>
              <w:spacing w:before="20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777554">
              <w:rPr>
                <w:rFonts w:ascii="Arial" w:eastAsia="Arial" w:hAnsi="Arial" w:cs="Arial"/>
                <w:sz w:val="18"/>
                <w:szCs w:val="18"/>
              </w:rPr>
              <w:t>Era razoável exigir da responsável conduta diversa daquela que ele adotou, consideradas as circunstâncias que o cercavam? Caso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Pr="00777554">
              <w:rPr>
                <w:rFonts w:ascii="Arial" w:eastAsia="Arial" w:hAnsi="Arial" w:cs="Arial"/>
                <w:sz w:val="18"/>
                <w:szCs w:val="18"/>
              </w:rPr>
              <w:t>afirmativo, qual seria essa conduta?</w:t>
            </w:r>
          </w:p>
          <w:p w:rsidR="00EA7720" w:rsidRPr="00777554" w:rsidRDefault="00EA7720" w:rsidP="00EA7720">
            <w:pPr>
              <w:spacing w:before="200"/>
              <w:ind w:left="1134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lastRenderedPageBreak/>
              <w:t xml:space="preserve">Ex.: </w:t>
            </w:r>
            <w:r w:rsidRPr="00EA7720">
              <w:rPr>
                <w:rFonts w:ascii="Arial" w:eastAsia="Arial" w:hAnsi="Arial" w:cs="Arial"/>
                <w:sz w:val="18"/>
                <w:szCs w:val="18"/>
              </w:rPr>
              <w:t xml:space="preserve">É razoável afirmar que era exigível </w:t>
            </w:r>
            <w:proofErr w:type="gramStart"/>
            <w:r w:rsidRPr="00EA7720">
              <w:rPr>
                <w:rFonts w:ascii="Arial" w:eastAsia="Arial" w:hAnsi="Arial" w:cs="Arial"/>
                <w:sz w:val="18"/>
                <w:szCs w:val="18"/>
              </w:rPr>
              <w:t>do responsável conduta divers</w:t>
            </w:r>
            <w:r>
              <w:rPr>
                <w:rFonts w:ascii="Arial" w:eastAsia="Arial" w:hAnsi="Arial" w:cs="Arial"/>
                <w:sz w:val="18"/>
                <w:szCs w:val="18"/>
              </w:rPr>
              <w:t>a</w:t>
            </w:r>
            <w:proofErr w:type="gram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Pr="00EA7720">
              <w:rPr>
                <w:rFonts w:ascii="Arial" w:eastAsia="Arial" w:hAnsi="Arial" w:cs="Arial"/>
                <w:sz w:val="18"/>
                <w:szCs w:val="18"/>
              </w:rPr>
              <w:t>daquela que ele adotou, consideradas as circunstâncias que o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Pr="00EA7720">
              <w:rPr>
                <w:rFonts w:ascii="Arial" w:eastAsia="Arial" w:hAnsi="Arial" w:cs="Arial"/>
                <w:sz w:val="18"/>
                <w:szCs w:val="18"/>
              </w:rPr>
              <w:t>cercavam, pois (citar a conduta diversa.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Sugere-se o uso d</w:t>
            </w:r>
            <w:r w:rsidRPr="00EA7720">
              <w:rPr>
                <w:rFonts w:ascii="Arial" w:eastAsia="Arial" w:hAnsi="Arial" w:cs="Arial"/>
                <w:sz w:val="18"/>
                <w:szCs w:val="18"/>
              </w:rPr>
              <w:t>a seguinte expressão: “</w:t>
            </w:r>
            <w:r>
              <w:rPr>
                <w:rFonts w:ascii="Arial" w:eastAsia="Arial" w:hAnsi="Arial" w:cs="Arial"/>
                <w:sz w:val="18"/>
                <w:szCs w:val="18"/>
              </w:rPr>
              <w:t>d</w:t>
            </w:r>
            <w:r w:rsidRPr="00EA7720">
              <w:rPr>
                <w:rFonts w:ascii="Arial" w:eastAsia="Arial" w:hAnsi="Arial" w:cs="Arial"/>
                <w:sz w:val="18"/>
                <w:szCs w:val="18"/>
              </w:rPr>
              <w:t>everia o responsável ter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Pr="00EA7720">
              <w:rPr>
                <w:rFonts w:ascii="Arial" w:eastAsia="Arial" w:hAnsi="Arial" w:cs="Arial"/>
                <w:sz w:val="18"/>
                <w:szCs w:val="18"/>
              </w:rPr>
              <w:t>feito isso em vez de ter feito aquilo”).</w:t>
            </w:r>
          </w:p>
          <w:p w:rsidR="00E344D0" w:rsidRDefault="00D91D0B" w:rsidP="00C21941">
            <w:pPr>
              <w:spacing w:before="20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Na avaliação da reprovabilidade da conduta e na mensuração da responsabilidade pelos achados, podem auxiliar na elaboração da opinião técnica </w:t>
            </w:r>
            <w:r w:rsidR="00C21941">
              <w:rPr>
                <w:rFonts w:ascii="Arial" w:eastAsia="Arial" w:hAnsi="Arial" w:cs="Arial"/>
                <w:sz w:val="18"/>
                <w:szCs w:val="18"/>
              </w:rPr>
              <w:t>da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equipe de </w:t>
            </w:r>
            <w:r w:rsidR="00C21941">
              <w:rPr>
                <w:rFonts w:ascii="Arial" w:eastAsia="Arial" w:hAnsi="Arial" w:cs="Arial"/>
                <w:sz w:val="18"/>
                <w:szCs w:val="18"/>
              </w:rPr>
              <w:t>inspeção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, a resposta aos seguintes itens:  </w:t>
            </w:r>
          </w:p>
          <w:p w:rsidR="00E344D0" w:rsidRDefault="00D91D0B" w:rsidP="00C21941">
            <w:pPr>
              <w:numPr>
                <w:ilvl w:val="0"/>
                <w:numId w:val="1"/>
              </w:numPr>
              <w:spacing w:before="20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 individualização das condutas das pessoas responsáveis e suas explicações sobre seus atos de não conformidade e/ou possíveis atos ilícitos, quando apropriado;</w:t>
            </w:r>
          </w:p>
          <w:p w:rsidR="00E344D0" w:rsidRDefault="00D91D0B" w:rsidP="00C21941">
            <w:pPr>
              <w:numPr>
                <w:ilvl w:val="0"/>
                <w:numId w:val="1"/>
              </w:numPr>
              <w:spacing w:before="20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 valor da perda, do mau uso ou do desperdício gerado e o montante a ser ressarcido devido à responsabilidade pessoal;</w:t>
            </w:r>
          </w:p>
          <w:p w:rsidR="00E344D0" w:rsidRDefault="00D91D0B" w:rsidP="00C21941">
            <w:pPr>
              <w:numPr>
                <w:ilvl w:val="0"/>
                <w:numId w:val="1"/>
              </w:numPr>
              <w:spacing w:before="20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Quaisquer medidas tomadas por pessoas responsáveis, antes ou durante a </w:t>
            </w:r>
            <w:r w:rsidR="00C21941">
              <w:rPr>
                <w:rFonts w:ascii="Arial" w:eastAsia="Arial" w:hAnsi="Arial" w:cs="Arial"/>
                <w:sz w:val="18"/>
                <w:szCs w:val="18"/>
              </w:rPr>
              <w:t>inspeção</w:t>
            </w:r>
            <w:r>
              <w:rPr>
                <w:rFonts w:ascii="Arial" w:eastAsia="Arial" w:hAnsi="Arial" w:cs="Arial"/>
                <w:sz w:val="18"/>
                <w:szCs w:val="18"/>
              </w:rPr>
              <w:t>, para reparar a perda, o mau uso ou desperdício gerados;</w:t>
            </w:r>
          </w:p>
          <w:p w:rsidR="00E344D0" w:rsidRDefault="00D91D0B" w:rsidP="00C21941">
            <w:pPr>
              <w:numPr>
                <w:ilvl w:val="0"/>
                <w:numId w:val="1"/>
              </w:numPr>
              <w:spacing w:before="20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Os argumentos da administração sobre os atos de conformidade ou ilícitos;</w:t>
            </w:r>
          </w:p>
          <w:p w:rsidR="00E344D0" w:rsidRDefault="00D91D0B" w:rsidP="00C21941">
            <w:pPr>
              <w:numPr>
                <w:ilvl w:val="0"/>
                <w:numId w:val="1"/>
              </w:numPr>
              <w:spacing w:before="20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Os obstáculos e as dificuldades reais do gestor e as exigências das políticas públicas a seu cargo, bem como as circunstâncias práticas que houverem imposto, limitado ou condicionado a ação do agente (art. 22, caput e §1º da LINDB);</w:t>
            </w:r>
          </w:p>
          <w:p w:rsidR="00E344D0" w:rsidRDefault="00D91D0B" w:rsidP="00C21941">
            <w:pPr>
              <w:numPr>
                <w:ilvl w:val="0"/>
                <w:numId w:val="1"/>
              </w:numPr>
              <w:spacing w:before="20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 natureza e a gravidade da infração cometida, os danos que dela provierem para a administração pública, as circunstâncias agravantes ou atenuantes e os antecedentes do agente (art. 22, §2º da LINDB);</w:t>
            </w:r>
          </w:p>
          <w:p w:rsidR="00E344D0" w:rsidRDefault="00D91D0B" w:rsidP="00C21941">
            <w:pPr>
              <w:numPr>
                <w:ilvl w:val="0"/>
                <w:numId w:val="1"/>
              </w:numPr>
              <w:spacing w:before="20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 natureza e extensão das sanções legalmente previstas para o caso.</w:t>
            </w:r>
          </w:p>
        </w:tc>
      </w:tr>
      <w:tr w:rsidR="00E344D0">
        <w:trPr>
          <w:trHeight w:val="693"/>
        </w:trPr>
        <w:tc>
          <w:tcPr>
            <w:tcW w:w="1826" w:type="dxa"/>
            <w:tcBorders>
              <w:top w:val="single" w:sz="8" w:space="0" w:color="93C47D"/>
              <w:left w:val="single" w:sz="8" w:space="0" w:color="6D9EEB"/>
              <w:bottom w:val="single" w:sz="8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344D0" w:rsidRDefault="00D91D0B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lastRenderedPageBreak/>
              <w:t>Conclusão</w:t>
            </w:r>
          </w:p>
        </w:tc>
        <w:tc>
          <w:tcPr>
            <w:tcW w:w="7581" w:type="dxa"/>
            <w:tcBorders>
              <w:top w:val="single" w:sz="8" w:space="0" w:color="93C47D"/>
              <w:left w:val="single" w:sz="8" w:space="0" w:color="93C47D"/>
              <w:bottom w:val="single" w:sz="8" w:space="0" w:color="93C47D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344D0" w:rsidRDefault="00D91D0B">
            <w:pPr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O coordenador e o supervisor da equipe de </w:t>
            </w:r>
            <w:r w:rsidR="00C21941">
              <w:rPr>
                <w:rFonts w:ascii="Arial" w:eastAsia="Arial" w:hAnsi="Arial" w:cs="Arial"/>
                <w:sz w:val="18"/>
                <w:szCs w:val="18"/>
              </w:rPr>
              <w:t>inspeção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precisam verificar se foram considerados de maneira adequada todos os itens propostos na matriz de responsabilização.</w:t>
            </w:r>
          </w:p>
        </w:tc>
      </w:tr>
      <w:tr w:rsidR="00E344D0">
        <w:trPr>
          <w:trHeight w:val="567"/>
        </w:trPr>
        <w:tc>
          <w:tcPr>
            <w:tcW w:w="1826" w:type="dxa"/>
            <w:tcBorders>
              <w:top w:val="single" w:sz="8" w:space="0" w:color="93C47D"/>
              <w:left w:val="single" w:sz="8" w:space="0" w:color="6D9EEB"/>
              <w:bottom w:val="single" w:sz="8" w:space="0" w:color="6D9EEB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344D0" w:rsidRDefault="00D91D0B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Evidências de preparação e revisão </w:t>
            </w:r>
          </w:p>
        </w:tc>
        <w:tc>
          <w:tcPr>
            <w:tcW w:w="7581" w:type="dxa"/>
            <w:tcBorders>
              <w:top w:val="single" w:sz="8" w:space="0" w:color="93C47D"/>
              <w:left w:val="single" w:sz="8" w:space="0" w:color="93C47D"/>
              <w:bottom w:val="single" w:sz="8" w:space="0" w:color="6D9EEB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344D0" w:rsidRDefault="00D91D0B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A tabela indicando o nome das pessoas que elaboraram e documentaram a matriz, bem como seu(s) revisor(es) deverão ser preenchidas ao final. </w:t>
            </w:r>
          </w:p>
        </w:tc>
      </w:tr>
      <w:tr w:rsidR="00E344D0">
        <w:trPr>
          <w:trHeight w:val="567"/>
        </w:trPr>
        <w:tc>
          <w:tcPr>
            <w:tcW w:w="1826" w:type="dxa"/>
            <w:tcBorders>
              <w:top w:val="single" w:sz="8" w:space="0" w:color="93C47D"/>
              <w:left w:val="single" w:sz="8" w:space="0" w:color="6D9EEB"/>
              <w:bottom w:val="single" w:sz="8" w:space="0" w:color="6D9EEB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344D0" w:rsidRDefault="00D91D0B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Materiais de apoio e consulta</w:t>
            </w:r>
          </w:p>
        </w:tc>
        <w:tc>
          <w:tcPr>
            <w:tcW w:w="7581" w:type="dxa"/>
            <w:tcBorders>
              <w:top w:val="single" w:sz="8" w:space="0" w:color="93C47D"/>
              <w:left w:val="single" w:sz="8" w:space="0" w:color="93C47D"/>
              <w:bottom w:val="single" w:sz="8" w:space="0" w:color="6D9EEB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344D0" w:rsidRDefault="00D91D0B">
            <w:pPr>
              <w:numPr>
                <w:ilvl w:val="0"/>
                <w:numId w:val="2"/>
              </w:numPr>
              <w:tabs>
                <w:tab w:val="center" w:pos="4252"/>
                <w:tab w:val="right" w:pos="8504"/>
              </w:tabs>
              <w:spacing w:before="58"/>
              <w:ind w:left="354" w:hanging="28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Responsabilização de agentes perante o Tribunal de Contas: </w:t>
            </w:r>
            <w:hyperlink r:id="rId10">
              <w:r>
                <w:rPr>
                  <w:rFonts w:ascii="Arial" w:eastAsia="Arial" w:hAnsi="Arial" w:cs="Arial"/>
                  <w:color w:val="1155CC"/>
                  <w:sz w:val="18"/>
                  <w:szCs w:val="18"/>
                  <w:u w:val="single"/>
                </w:rPr>
                <w:t>https://tcers.tc.br/repo/orientacoes_gestores/RESPONSABILIZACAO-AGENTES.pdf</w:t>
              </w:r>
            </w:hyperlink>
          </w:p>
          <w:p w:rsidR="00E344D0" w:rsidRDefault="00E344D0">
            <w:pPr>
              <w:tabs>
                <w:tab w:val="center" w:pos="4252"/>
                <w:tab w:val="right" w:pos="8504"/>
              </w:tabs>
              <w:spacing w:before="58"/>
              <w:ind w:left="354" w:hanging="283"/>
              <w:rPr>
                <w:rFonts w:ascii="Arial" w:eastAsia="Arial" w:hAnsi="Arial" w:cs="Arial"/>
                <w:sz w:val="18"/>
                <w:szCs w:val="18"/>
              </w:rPr>
            </w:pPr>
          </w:p>
          <w:p w:rsidR="00E344D0" w:rsidRDefault="00D91D0B">
            <w:pPr>
              <w:numPr>
                <w:ilvl w:val="0"/>
                <w:numId w:val="2"/>
              </w:numPr>
              <w:tabs>
                <w:tab w:val="center" w:pos="4252"/>
                <w:tab w:val="right" w:pos="8504"/>
              </w:tabs>
              <w:spacing w:before="58"/>
              <w:ind w:left="354" w:hanging="28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Responsabilização de Agentes Segundo a Jurisprudência do TCU – Uma abordagem a partir de Licitações e Contratos. Aula 5 - Matriz de responsabilização - </w:t>
            </w:r>
            <w:hyperlink r:id="rId11">
              <w:r>
                <w:rPr>
                  <w:rFonts w:ascii="Arial" w:eastAsia="Arial" w:hAnsi="Arial" w:cs="Arial"/>
                  <w:color w:val="1155CC"/>
                  <w:sz w:val="18"/>
                  <w:szCs w:val="18"/>
                  <w:u w:val="single"/>
                </w:rPr>
                <w:t>https://portal.tcu.gov.br/biblioteca-digital/responsabilizacao-de-agentes-segundo-a-jurisprudencia-do-tcu-uma-abordagem-a-partir-de-licitacoes-e-contratos-aulas-1-a-5.htm</w:t>
              </w:r>
            </w:hyperlink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  <w:p w:rsidR="00E344D0" w:rsidRDefault="00E344D0">
            <w:pPr>
              <w:tabs>
                <w:tab w:val="center" w:pos="4252"/>
                <w:tab w:val="right" w:pos="8504"/>
              </w:tabs>
              <w:spacing w:before="58"/>
              <w:ind w:left="354" w:hanging="283"/>
              <w:rPr>
                <w:rFonts w:ascii="Arial" w:eastAsia="Arial" w:hAnsi="Arial" w:cs="Arial"/>
                <w:sz w:val="18"/>
                <w:szCs w:val="18"/>
              </w:rPr>
            </w:pPr>
          </w:p>
          <w:p w:rsidR="00E344D0" w:rsidRDefault="00D91D0B">
            <w:pPr>
              <w:numPr>
                <w:ilvl w:val="0"/>
                <w:numId w:val="2"/>
              </w:numPr>
              <w:tabs>
                <w:tab w:val="center" w:pos="4252"/>
                <w:tab w:val="right" w:pos="8504"/>
              </w:tabs>
              <w:spacing w:before="58"/>
              <w:ind w:left="354" w:hanging="28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Da responsabilização do agente  e a desconsideração da personalidade jurídica no âmbito dos Tribunais de Contas - </w:t>
            </w:r>
            <w:hyperlink r:id="rId12">
              <w:r>
                <w:rPr>
                  <w:rFonts w:ascii="Arial" w:eastAsia="Arial" w:hAnsi="Arial" w:cs="Arial"/>
                  <w:color w:val="1155CC"/>
                  <w:sz w:val="18"/>
                  <w:szCs w:val="18"/>
                  <w:u w:val="single"/>
                </w:rPr>
                <w:t>https://revista.tce.mg.gov.br/revista/index.php/TCEMG/article/view/563/535</w:t>
              </w:r>
            </w:hyperlink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  <w:p w:rsidR="00E344D0" w:rsidRDefault="00E344D0">
            <w:pPr>
              <w:tabs>
                <w:tab w:val="center" w:pos="4252"/>
                <w:tab w:val="right" w:pos="8504"/>
              </w:tabs>
              <w:spacing w:before="58"/>
              <w:ind w:left="354" w:hanging="283"/>
              <w:rPr>
                <w:rFonts w:ascii="Arial" w:eastAsia="Arial" w:hAnsi="Arial" w:cs="Arial"/>
                <w:sz w:val="18"/>
                <w:szCs w:val="18"/>
              </w:rPr>
            </w:pPr>
          </w:p>
          <w:p w:rsidR="00E344D0" w:rsidRDefault="00D91D0B">
            <w:pPr>
              <w:numPr>
                <w:ilvl w:val="0"/>
                <w:numId w:val="2"/>
              </w:numPr>
              <w:tabs>
                <w:tab w:val="center" w:pos="4252"/>
                <w:tab w:val="right" w:pos="8504"/>
              </w:tabs>
              <w:spacing w:before="58"/>
              <w:ind w:left="354" w:hanging="28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A competência sancionadora dos Tribunais de Contas e o princípio da reserva legal - </w:t>
            </w:r>
            <w:hyperlink r:id="rId13">
              <w:r>
                <w:rPr>
                  <w:rFonts w:ascii="Arial" w:eastAsia="Arial" w:hAnsi="Arial" w:cs="Arial"/>
                  <w:color w:val="1155CC"/>
                  <w:sz w:val="18"/>
                  <w:szCs w:val="18"/>
                  <w:u w:val="single"/>
                </w:rPr>
                <w:t>https://www.conjur.com.br/2023-jan-10/viana-melo-competencia-sancionadora-tribunais-contas/</w:t>
              </w:r>
            </w:hyperlink>
          </w:p>
          <w:p w:rsidR="00E344D0" w:rsidRDefault="00E344D0">
            <w:pPr>
              <w:tabs>
                <w:tab w:val="center" w:pos="4252"/>
                <w:tab w:val="right" w:pos="8504"/>
              </w:tabs>
              <w:spacing w:before="58"/>
              <w:ind w:left="354" w:hanging="283"/>
              <w:rPr>
                <w:rFonts w:ascii="Arial" w:eastAsia="Arial" w:hAnsi="Arial" w:cs="Arial"/>
                <w:sz w:val="18"/>
                <w:szCs w:val="18"/>
              </w:rPr>
            </w:pPr>
          </w:p>
          <w:p w:rsidR="00E344D0" w:rsidRDefault="00D91D0B">
            <w:pPr>
              <w:numPr>
                <w:ilvl w:val="0"/>
                <w:numId w:val="2"/>
              </w:numPr>
              <w:tabs>
                <w:tab w:val="center" w:pos="4252"/>
                <w:tab w:val="right" w:pos="8504"/>
              </w:tabs>
              <w:spacing w:before="58"/>
              <w:ind w:left="354" w:hanging="28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O artigo 71 da Constituição da República comentado pelo Supremo Tribunal Federal - </w:t>
            </w:r>
            <w:hyperlink r:id="rId14">
              <w:r>
                <w:rPr>
                  <w:rFonts w:ascii="Arial" w:eastAsia="Arial" w:hAnsi="Arial" w:cs="Arial"/>
                  <w:color w:val="1155CC"/>
                  <w:sz w:val="18"/>
                  <w:szCs w:val="18"/>
                  <w:u w:val="single"/>
                </w:rPr>
                <w:t>https://portal.stf.jus.br/constituicao-supremo/artigo.asp?abrirBase=CF&amp;abrirArtigo=71</w:t>
              </w:r>
            </w:hyperlink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  <w:p w:rsidR="00E344D0" w:rsidRDefault="00E344D0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:rsidR="00E344D0" w:rsidRDefault="00E344D0">
      <w:pPr>
        <w:jc w:val="both"/>
        <w:rPr>
          <w:rFonts w:ascii="Arial" w:eastAsia="Arial" w:hAnsi="Arial" w:cs="Arial"/>
          <w:sz w:val="20"/>
          <w:szCs w:val="20"/>
        </w:rPr>
      </w:pPr>
    </w:p>
    <w:sectPr w:rsidR="00E344D0">
      <w:pgSz w:w="11905" w:h="16837"/>
      <w:pgMar w:top="1700" w:right="1133" w:bottom="1133" w:left="1700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6D26" w:rsidRDefault="00D91D0B">
      <w:r>
        <w:separator/>
      </w:r>
    </w:p>
  </w:endnote>
  <w:endnote w:type="continuationSeparator" w:id="0">
    <w:p w:rsidR="00F06D26" w:rsidRDefault="00D91D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asa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44D0" w:rsidRDefault="00D91D0B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color w:val="000000"/>
        <w:sz w:val="20"/>
        <w:szCs w:val="20"/>
      </w:rPr>
      <w:fldChar w:fldCharType="begin"/>
    </w:r>
    <w:r>
      <w:rPr>
        <w:rFonts w:ascii="Arial" w:eastAsia="Arial" w:hAnsi="Arial" w:cs="Arial"/>
        <w:color w:val="000000"/>
        <w:sz w:val="20"/>
        <w:szCs w:val="20"/>
      </w:rPr>
      <w:instrText>PAGE</w:instrText>
    </w:r>
    <w:r>
      <w:rPr>
        <w:rFonts w:ascii="Arial" w:eastAsia="Arial" w:hAnsi="Arial" w:cs="Arial"/>
        <w:color w:val="000000"/>
        <w:sz w:val="20"/>
        <w:szCs w:val="20"/>
      </w:rPr>
      <w:fldChar w:fldCharType="separate"/>
    </w:r>
    <w:r w:rsidR="00C21941">
      <w:rPr>
        <w:rFonts w:ascii="Arial" w:eastAsia="Arial" w:hAnsi="Arial" w:cs="Arial"/>
        <w:noProof/>
        <w:color w:val="000000"/>
        <w:sz w:val="20"/>
        <w:szCs w:val="20"/>
      </w:rPr>
      <w:t>1</w:t>
    </w:r>
    <w:r>
      <w:rPr>
        <w:rFonts w:ascii="Arial" w:eastAsia="Arial" w:hAnsi="Arial" w:cs="Arial"/>
        <w:color w:val="000000"/>
        <w:sz w:val="20"/>
        <w:szCs w:val="20"/>
      </w:rPr>
      <w:fldChar w:fldCharType="end"/>
    </w:r>
  </w:p>
  <w:p w:rsidR="00E344D0" w:rsidRDefault="00E344D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rFonts w:eastAsia="Times New Roman" w:cs="Times New Roman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6D26" w:rsidRDefault="00D91D0B">
      <w:r>
        <w:separator/>
      </w:r>
    </w:p>
  </w:footnote>
  <w:footnote w:type="continuationSeparator" w:id="0">
    <w:p w:rsidR="00F06D26" w:rsidRDefault="00D91D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44D0" w:rsidRDefault="00E344D0">
    <w:pPr>
      <w:widowControl/>
      <w:tabs>
        <w:tab w:val="center" w:pos="4252"/>
        <w:tab w:val="right" w:pos="8504"/>
      </w:tabs>
      <w:rPr>
        <w:rFonts w:ascii="Arial" w:eastAsia="Arial" w:hAnsi="Arial" w:cs="Arial"/>
        <w:sz w:val="22"/>
        <w:szCs w:val="22"/>
      </w:rPr>
    </w:pPr>
  </w:p>
  <w:tbl>
    <w:tblPr>
      <w:tblStyle w:val="a4"/>
      <w:tblW w:w="1266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3000"/>
      <w:gridCol w:w="9660"/>
    </w:tblGrid>
    <w:tr w:rsidR="00E344D0">
      <w:trPr>
        <w:trHeight w:val="1418"/>
        <w:jc w:val="center"/>
      </w:trPr>
      <w:tc>
        <w:tcPr>
          <w:tcW w:w="3000" w:type="dxa"/>
          <w:vAlign w:val="center"/>
        </w:tcPr>
        <w:p w:rsidR="00E344D0" w:rsidRDefault="00E344D0">
          <w:pPr>
            <w:widowControl/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  <w:sz w:val="22"/>
              <w:szCs w:val="22"/>
            </w:rPr>
          </w:pPr>
          <w:bookmarkStart w:id="1" w:name="_heading=h.gjdgxs" w:colFirst="0" w:colLast="0"/>
          <w:bookmarkEnd w:id="1"/>
        </w:p>
      </w:tc>
      <w:tc>
        <w:tcPr>
          <w:tcW w:w="9660" w:type="dxa"/>
          <w:vAlign w:val="center"/>
        </w:tcPr>
        <w:p w:rsidR="00E344D0" w:rsidRDefault="00307132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14F176A1" wp14:editId="0E60B8F0">
                <wp:simplePos x="0" y="0"/>
                <wp:positionH relativeFrom="column">
                  <wp:posOffset>-1689735</wp:posOffset>
                </wp:positionH>
                <wp:positionV relativeFrom="paragraph">
                  <wp:posOffset>62230</wp:posOffset>
                </wp:positionV>
                <wp:extent cx="1163955" cy="718185"/>
                <wp:effectExtent l="0" t="0" r="0" b="5715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D91D0B"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E344D0" w:rsidRDefault="00D91D0B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</w:rPr>
            <w:t>Secretaria de Controle Externo</w:t>
          </w:r>
        </w:p>
        <w:p w:rsidR="00E344D0" w:rsidRDefault="00D91D0B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FF0000"/>
              <w:sz w:val="22"/>
              <w:szCs w:val="22"/>
            </w:rPr>
          </w:pPr>
          <w:r>
            <w:rPr>
              <w:rFonts w:ascii="Arial" w:eastAsia="Arial" w:hAnsi="Arial" w:cs="Arial"/>
              <w:color w:val="FF0000"/>
              <w:sz w:val="22"/>
              <w:szCs w:val="22"/>
            </w:rPr>
            <w:t>Gerência de Fiscalização de …</w:t>
          </w:r>
        </w:p>
        <w:p w:rsidR="00E344D0" w:rsidRDefault="00D91D0B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  <w:color w:val="FF0000"/>
              <w:sz w:val="22"/>
              <w:szCs w:val="22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  <w:sz w:val="22"/>
              <w:szCs w:val="22"/>
            </w:rPr>
            <w:t xml:space="preserve"> ..</w:t>
          </w:r>
          <w:proofErr w:type="gramEnd"/>
        </w:p>
      </w:tc>
    </w:tr>
  </w:tbl>
  <w:p w:rsidR="00E344D0" w:rsidRDefault="00E344D0">
    <w:pPr>
      <w:widowControl/>
      <w:tabs>
        <w:tab w:val="center" w:pos="4252"/>
        <w:tab w:val="right" w:pos="8504"/>
      </w:tabs>
      <w:rPr>
        <w:rFonts w:ascii="Arial" w:eastAsia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FD4D5D"/>
    <w:multiLevelType w:val="multilevel"/>
    <w:tmpl w:val="7DCEE8E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6E9C28CA"/>
    <w:multiLevelType w:val="multilevel"/>
    <w:tmpl w:val="21565EF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44D0"/>
    <w:rsid w:val="00237855"/>
    <w:rsid w:val="00307132"/>
    <w:rsid w:val="003625AD"/>
    <w:rsid w:val="006F4452"/>
    <w:rsid w:val="00777554"/>
    <w:rsid w:val="00946D7B"/>
    <w:rsid w:val="00B81251"/>
    <w:rsid w:val="00C21941"/>
    <w:rsid w:val="00D91D0B"/>
    <w:rsid w:val="00E344D0"/>
    <w:rsid w:val="00EA7720"/>
    <w:rsid w:val="00F06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16B108-4CE2-4C9F-B58B-F4920B779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  <w:rPr>
      <w:rFonts w:eastAsia="Lucida Sans Unicode" w:cs="Mangal"/>
      <w:kern w:val="1"/>
      <w:lang w:eastAsia="hi-IN" w:bidi="hi-IN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Ttulo10"/>
    <w:next w:val="Subttulo"/>
    <w:qFormat/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styleId="Corpodetexto">
    <w:name w:val="Body Text"/>
    <w:basedOn w:val="Normal"/>
    <w:pPr>
      <w:spacing w:after="120"/>
    </w:pPr>
  </w:style>
  <w:style w:type="paragraph" w:styleId="Subttulo">
    <w:name w:val="Subtitle"/>
    <w:basedOn w:val="Normal"/>
    <w:next w:val="Normal"/>
    <w:pPr>
      <w:keepNext/>
      <w:spacing w:before="240" w:after="120"/>
      <w:jc w:val="center"/>
    </w:pPr>
    <w:rPr>
      <w:rFonts w:ascii="Arial" w:eastAsia="Arial" w:hAnsi="Arial" w:cs="Arial"/>
      <w:i/>
      <w:sz w:val="28"/>
      <w:szCs w:val="28"/>
    </w:rPr>
  </w:style>
  <w:style w:type="paragraph" w:styleId="Lista">
    <w:name w:val="List"/>
    <w:basedOn w:val="Corpodetexto"/>
  </w:style>
  <w:style w:type="paragraph" w:customStyle="1" w:styleId="Legenda1">
    <w:name w:val="Legenda1"/>
    <w:basedOn w:val="Normal"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Normal"/>
    <w:pPr>
      <w:suppressLineNumbers/>
    </w:pPr>
  </w:style>
  <w:style w:type="paragraph" w:styleId="Cabealho">
    <w:name w:val="header"/>
    <w:basedOn w:val="Normal"/>
    <w:link w:val="CabealhoChar"/>
    <w:uiPriority w:val="99"/>
    <w:pPr>
      <w:suppressLineNumbers/>
      <w:tabs>
        <w:tab w:val="center" w:pos="7285"/>
        <w:tab w:val="right" w:pos="14570"/>
      </w:tabs>
    </w:pPr>
  </w:style>
  <w:style w:type="paragraph" w:customStyle="1" w:styleId="Contedodetabela">
    <w:name w:val="Conteúdo de tabela"/>
    <w:basedOn w:val="Normal"/>
    <w:pPr>
      <w:suppressLineNumbers/>
    </w:pPr>
  </w:style>
  <w:style w:type="paragraph" w:styleId="Rodap">
    <w:name w:val="footer"/>
    <w:basedOn w:val="Normal"/>
    <w:link w:val="RodapChar"/>
    <w:uiPriority w:val="99"/>
    <w:rsid w:val="005D46C9"/>
    <w:pPr>
      <w:tabs>
        <w:tab w:val="center" w:pos="4252"/>
        <w:tab w:val="right" w:pos="8504"/>
      </w:tabs>
    </w:pPr>
  </w:style>
  <w:style w:type="character" w:styleId="Nmerodepgina">
    <w:name w:val="page number"/>
    <w:basedOn w:val="Fontepargpadro"/>
    <w:rsid w:val="003F3F28"/>
  </w:style>
  <w:style w:type="table" w:styleId="Tabelacomgrade">
    <w:name w:val="Table Grid"/>
    <w:basedOn w:val="Tabelanormal"/>
    <w:rsid w:val="00C54467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semiHidden/>
    <w:rsid w:val="003679C8"/>
    <w:rPr>
      <w:rFonts w:ascii="Tahoma" w:hAnsi="Tahoma" w:cs="Tahoma"/>
      <w:sz w:val="16"/>
      <w:szCs w:val="16"/>
    </w:rPr>
  </w:style>
  <w:style w:type="character" w:customStyle="1" w:styleId="RodapChar">
    <w:name w:val="Rodapé Char"/>
    <w:link w:val="Rodap"/>
    <w:uiPriority w:val="99"/>
    <w:rsid w:val="0027293D"/>
    <w:rPr>
      <w:rFonts w:eastAsia="Lucida Sans Unicode" w:cs="Mangal"/>
      <w:kern w:val="1"/>
      <w:sz w:val="24"/>
      <w:szCs w:val="24"/>
      <w:lang w:eastAsia="hi-IN" w:bidi="hi-IN"/>
    </w:rPr>
  </w:style>
  <w:style w:type="character" w:customStyle="1" w:styleId="CabealhoChar">
    <w:name w:val="Cabeçalho Char"/>
    <w:link w:val="Cabealho"/>
    <w:uiPriority w:val="99"/>
    <w:rsid w:val="00120AC1"/>
    <w:rPr>
      <w:rFonts w:eastAsia="Lucida Sans Unicode" w:cs="Mangal"/>
      <w:kern w:val="1"/>
      <w:sz w:val="24"/>
      <w:szCs w:val="24"/>
      <w:lang w:eastAsia="hi-IN" w:bidi="hi-IN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4">
    <w:basedOn w:val="TableNormal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character" w:styleId="Refdecomentrio">
    <w:name w:val="annotation reference"/>
    <w:basedOn w:val="Fontepargpadro"/>
    <w:uiPriority w:val="99"/>
    <w:semiHidden/>
    <w:unhideWhenUsed/>
    <w:rsid w:val="003625AD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3625AD"/>
    <w:rPr>
      <w:sz w:val="20"/>
      <w:szCs w:val="18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3625AD"/>
    <w:rPr>
      <w:rFonts w:eastAsia="Lucida Sans Unicode" w:cs="Mangal"/>
      <w:kern w:val="1"/>
      <w:sz w:val="20"/>
      <w:szCs w:val="18"/>
      <w:lang w:eastAsia="hi-IN" w:bidi="hi-IN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3625AD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3625AD"/>
    <w:rPr>
      <w:rFonts w:eastAsia="Lucida Sans Unicode" w:cs="Mangal"/>
      <w:b/>
      <w:bCs/>
      <w:kern w:val="1"/>
      <w:sz w:val="20"/>
      <w:szCs w:val="18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www.conjur.com.br/2023-jan-10/viana-melo-competencia-sancionadora-tribunais-conta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revista.tce.mg.gov.br/revista/index.php/TCEMG/article/view/563/535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ortal.tcu.gov.br/biblioteca-digital/responsabilizacao-de-agentes-segundo-a-jurisprudencia-do-tcu-uma-abordagem-a-partir-de-licitacoes-e-contratos-aulas-1-a-5.ht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tcers.tc.br/repo/orientacoes_gestores/RESPONSABILIZACAO-AGENTES.pdf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portal.stf.jus.br/constituicao-supremo/artigo.asp?abrirBase=CF&amp;abrirArtigo=71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1n/uKz4tj8Vj+JBWaDvHKlNaClQ==">CgMxLjAyCGguZ2pkZ3hzMghoLmdqZGd4czgAciExOTBKUDNLR24xRG8wMTFSanJBbndKbFUxRzQ5dE9FdWM=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1365</Words>
  <Characters>7375</Characters>
  <Application>Microsoft Office Word</Application>
  <DocSecurity>0</DocSecurity>
  <Lines>61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Paula de Araujo Rocha</dc:creator>
  <cp:lastModifiedBy>Andrea Calixto Abdalla Ribeiro</cp:lastModifiedBy>
  <cp:revision>6</cp:revision>
  <dcterms:created xsi:type="dcterms:W3CDTF">2024-02-28T19:10:00Z</dcterms:created>
  <dcterms:modified xsi:type="dcterms:W3CDTF">2025-08-04T13:55:00Z</dcterms:modified>
</cp:coreProperties>
</file>